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40" w:line="240" w:lineRule="auto"/>
        <w:ind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Инструкция для администрации (персонала) и обучающихся образовательных организаций о действиях при атаке БПЛА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С получением сигнала оповещения “Внимание! В регионе объявлен режим беспилотной опасности!” во время нахождения обучающихся в образовательной организации необходимо: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4052"/>
          <w:sz w:val="28"/>
          <w:szCs w:val="28"/>
          <w:rtl w:val="0"/>
        </w:rPr>
        <w:t xml:space="preserve">I. Администрации (персоналу):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незамедлительно прекратить проведение занятий;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привести в готовность к приему укрываемых предусмотренные для размещения обучаемых укрытия;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обеспечить готовность медицинского персонала к оказанию помощи;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4052"/>
          <w:sz w:val="28"/>
          <w:szCs w:val="28"/>
          <w:rtl w:val="0"/>
        </w:rPr>
        <w:t xml:space="preserve">при падении БПЛА на территории образовательной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запретить персоналу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4052"/>
          <w:sz w:val="28"/>
          <w:szCs w:val="28"/>
          <w:rtl w:val="0"/>
        </w:rPr>
        <w:t xml:space="preserve">II. Обучающимся: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обесточить помещения (отключить электроприборы, выключить свет);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плотно закрыть окна и двери;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применить предусмотренные инструкцией меры защиты от вторичных поражающих элементов;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быстро, без паники, сохраняя бдительность и спокойствие, покинуть учебные классы;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привести имеющиеся средства индивидуальной защиты в готовность к применению;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занять места в укрытии в соответствии с указаниями ответственного работника укрытия;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отсутствии укрытия (подвала) найти помещение без окон, пространство между несущими стенами, сесть на пол и пригнуться;</w:t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нахождении на открытой территории (вне зданий) немедленно укрыться в здании (укрытии, подвале, убежище);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 покидать здание (укрытие) и не выходить за его пределы до получения сигнала «Отбой атаки БПЛА».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Услышав характерный звук и увидев силуэт пролетающего БПЛА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4052"/>
          <w:sz w:val="28"/>
          <w:szCs w:val="28"/>
          <w:rtl w:val="0"/>
        </w:rPr>
        <w:t xml:space="preserve">при нахождении на открытой территории (вне зданий)</w:t>
      </w: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, необходимо: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покинуть зону видимости (опасную зону), по возможности бежать зигзагами;</w:t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немедленно укрыться в ближайшем в здании (укрытии, подвале, убежище);</w:t>
      </w:r>
    </w:p>
    <w:p w:rsidR="00000000" w:rsidDel="00000000" w:rsidP="00000000" w:rsidRDefault="00000000" w:rsidRPr="00000000" w14:paraId="00000023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не подниматься после первого взрыва, откатиться или отползти в сторону;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падении БПЛА не прикасаться к нему или его частям: они могут быть взрывоопасны или ядовиты;</w:t>
      </w:r>
    </w:p>
    <w:p w:rsidR="00000000" w:rsidDel="00000000" w:rsidP="00000000" w:rsidRDefault="00000000" w:rsidRPr="00000000" w14:paraId="00000026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при падении БПЛА на территории образовательной организации проинформировать о происшествии администрацию (персонал);</w:t>
      </w:r>
    </w:p>
    <w:p w:rsidR="00000000" w:rsidDel="00000000" w:rsidP="00000000" w:rsidRDefault="00000000" w:rsidRPr="00000000" w14:paraId="00000027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находиться на безопасном расстоянии от места падения БПЛА и не допускать к нему никого до прибытия экстренных оперативных служб.</w:t>
      </w:r>
    </w:p>
    <w:p w:rsidR="00000000" w:rsidDel="00000000" w:rsidP="00000000" w:rsidRDefault="00000000" w:rsidRPr="00000000" w14:paraId="00000028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4052"/>
          <w:sz w:val="28"/>
          <w:szCs w:val="28"/>
          <w:rtl w:val="0"/>
        </w:rPr>
        <w:t xml:space="preserve">Категорически запрещается</w:t>
      </w: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ind w:firstLine="851"/>
        <w:jc w:val="both"/>
        <w:rPr>
          <w:rFonts w:ascii="Times New Roman" w:cs="Times New Roman" w:eastAsia="Times New Roman" w:hAnsi="Times New Roman"/>
          <w:color w:val="3c40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4052"/>
          <w:sz w:val="28"/>
          <w:szCs w:val="28"/>
          <w:rtl w:val="0"/>
        </w:rPr>
        <w:t xml:space="preserve">С получением сигнала “Внимание! Отбой опасности атаки БПЛА в Свердловской области!”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:rsidR="00000000" w:rsidDel="00000000" w:rsidP="00000000" w:rsidRDefault="00000000" w:rsidRPr="00000000" w14:paraId="0000002A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2anhi6moj7j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